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B7C83A2" w:rsidR="00A941DF" w:rsidRPr="00EE006E" w:rsidRDefault="007B4ACE"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#108</w:t>
      </w:r>
      <w:r w:rsidR="004719C3">
        <w:rPr>
          <w:b/>
          <w:sz w:val="24"/>
          <w:szCs w:val="24"/>
        </w:rPr>
        <w:t>-e</w:t>
      </w:r>
      <w:r w:rsidR="00A941DF" w:rsidRPr="00121C7F">
        <w:rPr>
          <w:rFonts w:hint="eastAsia"/>
          <w:b/>
          <w:sz w:val="24"/>
          <w:szCs w:val="24"/>
          <w:lang w:eastAsia="ko-KR"/>
        </w:rPr>
        <w:tab/>
      </w:r>
      <w:r w:rsidR="00B455A8">
        <w:rPr>
          <w:b/>
          <w:sz w:val="24"/>
          <w:szCs w:val="24"/>
          <w:lang w:eastAsia="ko-KR"/>
        </w:rPr>
        <w:t>R1-2202039</w:t>
      </w:r>
    </w:p>
    <w:bookmarkEnd w:id="0"/>
    <w:bookmarkEnd w:id="1"/>
    <w:p w14:paraId="38D4F591" w14:textId="5F40B278"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7B4ACE">
        <w:rPr>
          <w:rFonts w:ascii="Arial" w:hAnsi="Arial"/>
          <w:b/>
          <w:bCs/>
          <w:noProof/>
          <w:sz w:val="24"/>
          <w:szCs w:val="24"/>
        </w:rPr>
        <w:t>February 21st</w:t>
      </w:r>
      <w:r w:rsidR="00B40A97" w:rsidRPr="00B40A97">
        <w:rPr>
          <w:rFonts w:ascii="Arial" w:hAnsi="Arial"/>
          <w:b/>
          <w:bCs/>
          <w:noProof/>
          <w:sz w:val="24"/>
          <w:szCs w:val="24"/>
        </w:rPr>
        <w:t xml:space="preserve"> – </w:t>
      </w:r>
      <w:r w:rsidR="00120247">
        <w:rPr>
          <w:rFonts w:ascii="Arial" w:hAnsi="Arial"/>
          <w:b/>
          <w:bCs/>
          <w:noProof/>
          <w:sz w:val="24"/>
          <w:szCs w:val="24"/>
        </w:rPr>
        <w:t xml:space="preserve">March </w:t>
      </w:r>
      <w:r w:rsidR="007B4ACE">
        <w:rPr>
          <w:rFonts w:ascii="Arial" w:hAnsi="Arial"/>
          <w:b/>
          <w:bCs/>
          <w:noProof/>
          <w:sz w:val="24"/>
          <w:szCs w:val="24"/>
        </w:rPr>
        <w:t>3rd, 2022</w:t>
      </w:r>
      <w:bookmarkStart w:id="2" w:name="_GoBack"/>
      <w:bookmarkEnd w:id="2"/>
    </w:p>
    <w:p w14:paraId="08664EDD" w14:textId="237C78E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3D06B4">
        <w:rPr>
          <w:rFonts w:ascii="Arial" w:hAnsi="Arial"/>
          <w:sz w:val="24"/>
        </w:rPr>
        <w:t>8.16</w:t>
      </w:r>
      <w:r w:rsidR="00A31EC1">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14AA37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31EC1" w:rsidRPr="00A31EC1">
        <w:rPr>
          <w:rFonts w:ascii="Arial" w:hAnsi="Arial"/>
          <w:sz w:val="24"/>
        </w:rPr>
        <w:t>UE features for supporting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1E0AF381" w:rsidR="00294193" w:rsidRDefault="00294193" w:rsidP="00AF2DD0">
      <w:pPr>
        <w:spacing w:before="240"/>
        <w:rPr>
          <w:lang w:eastAsia="x-none"/>
        </w:rPr>
      </w:pPr>
      <w:r>
        <w:rPr>
          <w:lang w:eastAsia="x-none"/>
        </w:rPr>
        <w:t xml:space="preserve">This contribution </w:t>
      </w:r>
      <w:r w:rsidR="00A31EC1">
        <w:rPr>
          <w:lang w:eastAsia="x-none"/>
        </w:rPr>
        <w:t xml:space="preserve">includes comments for Rel-17 UE features for supporting </w:t>
      </w:r>
      <w:r>
        <w:rPr>
          <w:lang w:eastAsia="x-none"/>
        </w:rPr>
        <w:t xml:space="preserve">NR </w:t>
      </w:r>
      <w:r w:rsidR="00A31EC1">
        <w:rPr>
          <w:lang w:eastAsia="x-none"/>
        </w:rPr>
        <w:t xml:space="preserve">from </w:t>
      </w:r>
      <w:r>
        <w:rPr>
          <w:lang w:eastAsia="x-none"/>
        </w:rPr>
        <w:t xml:space="preserve">52.6 </w:t>
      </w:r>
      <w:r w:rsidR="00A31EC1">
        <w:rPr>
          <w:lang w:eastAsia="x-none"/>
        </w:rPr>
        <w:t xml:space="preserve">GHz </w:t>
      </w:r>
      <w:r>
        <w:rPr>
          <w:lang w:eastAsia="x-none"/>
        </w:rPr>
        <w:t>to 71 GHz</w:t>
      </w:r>
      <w:r w:rsidR="001E20A3">
        <w:rPr>
          <w:lang w:eastAsia="x-none"/>
        </w:rPr>
        <w:t xml:space="preserve"> </w:t>
      </w:r>
      <w:r w:rsidR="00A31EC1">
        <w:rPr>
          <w:lang w:eastAsia="x-none"/>
        </w:rPr>
        <w:t>[1]</w:t>
      </w:r>
      <w:r>
        <w:rPr>
          <w:lang w:eastAsia="x-none"/>
        </w:rPr>
        <w:t>.</w:t>
      </w:r>
    </w:p>
    <w:p w14:paraId="74565B36" w14:textId="596DDE2E" w:rsidR="0028289A" w:rsidRDefault="00334AE8"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AF10C0">
        <w:rPr>
          <w:szCs w:val="20"/>
          <w:lang w:val="en-US"/>
        </w:rPr>
        <w:t>24-</w:t>
      </w:r>
      <w:r w:rsidR="007B4ACE">
        <w:rPr>
          <w:szCs w:val="20"/>
          <w:lang w:val="en-US"/>
        </w:rPr>
        <w:t>1b</w:t>
      </w:r>
      <w:r w:rsidR="008D7016">
        <w:rPr>
          <w:szCs w:val="20"/>
          <w:lang w:val="en-US"/>
        </w:rPr>
        <w:t xml:space="preserve"> and 24-4b </w:t>
      </w:r>
    </w:p>
    <w:p w14:paraId="28D52373" w14:textId="07AACE03" w:rsidR="00184451" w:rsidRDefault="007B4ACE" w:rsidP="00025E00">
      <w:pPr>
        <w:tabs>
          <w:tab w:val="left" w:pos="1300"/>
        </w:tabs>
        <w:spacing w:after="0"/>
        <w:jc w:val="both"/>
        <w:rPr>
          <w:lang w:val="en-US"/>
        </w:rPr>
      </w:pPr>
      <w:r>
        <w:rPr>
          <w:lang w:val="en-US"/>
        </w:rPr>
        <w:t>One remaining issue left for FG 24-1b (i.e., wideband PRACH for 120 kHz in FR2-2) is whether to mandate this FG when FG 24-2 is supported (i.e., 120 kHz SSB for initial access in FR2-2)</w:t>
      </w:r>
      <w:r w:rsidR="00184451">
        <w:rPr>
          <w:lang w:eastAsia="x-none"/>
        </w:rPr>
        <w:t>.</w:t>
      </w:r>
      <w:r>
        <w:rPr>
          <w:lang w:eastAsia="x-none"/>
        </w:rPr>
        <w:t xml:space="preserve"> It is true that supporting wideband PRACH can be beneficial in increasing the coverage of PRACH transmission, however, this feature may not be considered as mandatorily required for implementing initial access to the system, since FR2-1 only has PRACH with short sequence length</w:t>
      </w:r>
      <w:r w:rsidR="00C3536C">
        <w:rPr>
          <w:lang w:eastAsia="x-none"/>
        </w:rPr>
        <w:t xml:space="preserve"> as 139 and no significant coverage issue was found. Hence, we don’t support mandating this FG </w:t>
      </w:r>
      <w:r w:rsidR="00C3536C">
        <w:rPr>
          <w:lang w:val="en-US"/>
        </w:rPr>
        <w:t xml:space="preserve">when FG 24-2 is supported. </w:t>
      </w:r>
    </w:p>
    <w:p w14:paraId="3EAE03D6" w14:textId="34D5EBCE" w:rsidR="00C3536C" w:rsidRDefault="00C3536C" w:rsidP="00025E00">
      <w:pPr>
        <w:tabs>
          <w:tab w:val="left" w:pos="1300"/>
        </w:tabs>
        <w:spacing w:after="0"/>
        <w:jc w:val="both"/>
        <w:rPr>
          <w:lang w:val="en-US"/>
        </w:rPr>
      </w:pPr>
    </w:p>
    <w:p w14:paraId="0DC4071F" w14:textId="5255B693" w:rsidR="00C3536C" w:rsidRDefault="00C3536C" w:rsidP="00025E00">
      <w:pPr>
        <w:tabs>
          <w:tab w:val="left" w:pos="1300"/>
        </w:tabs>
        <w:spacing w:after="0"/>
        <w:jc w:val="both"/>
        <w:rPr>
          <w:lang w:eastAsia="x-none"/>
        </w:rPr>
      </w:pPr>
      <w:r>
        <w:rPr>
          <w:lang w:val="en-US"/>
        </w:rPr>
        <w:t>Another remaining issue left for FG 24-1b</w:t>
      </w:r>
      <w:r w:rsidR="008D7016">
        <w:rPr>
          <w:lang w:val="en-US"/>
        </w:rPr>
        <w:t xml:space="preserve"> and 24-b</w:t>
      </w:r>
      <w:r>
        <w:rPr>
          <w:lang w:val="en-US"/>
        </w:rPr>
        <w:t xml:space="preserve"> (i.e., wideband PRACH for 120 kHz </w:t>
      </w:r>
      <w:r w:rsidR="008D7016">
        <w:rPr>
          <w:lang w:val="en-US"/>
        </w:rPr>
        <w:t xml:space="preserve">and 480 kHz </w:t>
      </w:r>
      <w:r>
        <w:rPr>
          <w:lang w:val="en-US"/>
        </w:rPr>
        <w:t>in FR2-2</w:t>
      </w:r>
      <w:r w:rsidR="008D7016">
        <w:rPr>
          <w:lang w:val="en-US"/>
        </w:rPr>
        <w:t>, respectively</w:t>
      </w:r>
      <w:r>
        <w:rPr>
          <w:lang w:val="en-US"/>
        </w:rPr>
        <w:t>) is whether to</w:t>
      </w:r>
      <w:r w:rsidR="008D7016">
        <w:rPr>
          <w:lang w:val="en-US"/>
        </w:rPr>
        <w:t xml:space="preserve"> restrict these</w:t>
      </w:r>
      <w:r>
        <w:rPr>
          <w:lang w:val="en-US"/>
        </w:rPr>
        <w:t xml:space="preserve"> FG</w:t>
      </w:r>
      <w:r w:rsidR="008D7016">
        <w:rPr>
          <w:lang w:val="en-US"/>
        </w:rPr>
        <w:t>s</w:t>
      </w:r>
      <w:r>
        <w:rPr>
          <w:lang w:val="en-US"/>
        </w:rPr>
        <w:t xml:space="preserve"> for bands with shared spectrum operation only. This discussion originates from an unclear description of the working scope from the WID, and</w:t>
      </w:r>
      <w:r w:rsidR="008D7016">
        <w:rPr>
          <w:lang w:val="en-US"/>
        </w:rPr>
        <w:t xml:space="preserve"> technically the benefit of wideband PRACH</w:t>
      </w:r>
      <w:r>
        <w:rPr>
          <w:lang w:val="en-US"/>
        </w:rPr>
        <w:t xml:space="preserve"> is from the PSD limitation on shared spectrum operation. It’s better to ask guidance from RAN plenary on the intention and working scope related to this issue, such that no time will be wasted in RAN1 discussion.  </w:t>
      </w:r>
    </w:p>
    <w:p w14:paraId="55212FD0" w14:textId="62307C99" w:rsidR="00AF10C0" w:rsidRDefault="00AF10C0" w:rsidP="00025E00">
      <w:pPr>
        <w:tabs>
          <w:tab w:val="left" w:pos="1300"/>
        </w:tabs>
        <w:spacing w:after="0"/>
        <w:jc w:val="both"/>
        <w:rPr>
          <w:lang w:eastAsia="x-none"/>
        </w:rPr>
      </w:pPr>
    </w:p>
    <w:p w14:paraId="0259F9B3" w14:textId="2E9C02C6" w:rsidR="00184451" w:rsidRDefault="008D7016" w:rsidP="00184451">
      <w:pPr>
        <w:tabs>
          <w:tab w:val="left" w:pos="1300"/>
        </w:tabs>
        <w:spacing w:after="0"/>
        <w:jc w:val="both"/>
        <w:rPr>
          <w:b/>
          <w:u w:val="single"/>
          <w:lang w:eastAsia="x-none"/>
        </w:rPr>
      </w:pPr>
      <w:r>
        <w:rPr>
          <w:b/>
          <w:u w:val="single"/>
          <w:lang w:eastAsia="x-none"/>
        </w:rPr>
        <w:t xml:space="preserve">Proposal 1: For FG 24-1b </w:t>
      </w:r>
      <w:r w:rsidRPr="008D7016">
        <w:rPr>
          <w:b/>
          <w:u w:val="single"/>
          <w:lang w:eastAsia="x-none"/>
        </w:rPr>
        <w:t>and 24-4b</w:t>
      </w:r>
      <w:r w:rsidR="00C3536C">
        <w:rPr>
          <w:b/>
          <w:u w:val="single"/>
          <w:lang w:eastAsia="x-none"/>
        </w:rPr>
        <w:t>:</w:t>
      </w:r>
    </w:p>
    <w:p w14:paraId="663C24E9" w14:textId="579EDB91" w:rsidR="00C3536C" w:rsidRDefault="00C3536C" w:rsidP="00C3536C">
      <w:pPr>
        <w:pStyle w:val="ListParagraph"/>
        <w:numPr>
          <w:ilvl w:val="0"/>
          <w:numId w:val="39"/>
        </w:numPr>
        <w:tabs>
          <w:tab w:val="left" w:pos="1300"/>
        </w:tabs>
        <w:spacing w:after="0"/>
        <w:ind w:leftChars="0"/>
        <w:jc w:val="both"/>
        <w:rPr>
          <w:b/>
          <w:u w:val="single"/>
          <w:lang w:val="en-US"/>
        </w:rPr>
      </w:pPr>
      <w:r>
        <w:rPr>
          <w:b/>
          <w:u w:val="single"/>
          <w:lang w:val="en-US"/>
        </w:rPr>
        <w:t>Remove the note “</w:t>
      </w:r>
      <w:r w:rsidRPr="00C3536C">
        <w:rPr>
          <w:b/>
          <w:u w:val="single"/>
          <w:lang w:val="en-US"/>
        </w:rPr>
        <w:t>A UE that supports FG 24-2 must indicate this FG is supported</w:t>
      </w:r>
      <w:r>
        <w:rPr>
          <w:b/>
          <w:u w:val="single"/>
          <w:lang w:val="en-US"/>
        </w:rPr>
        <w:t>”</w:t>
      </w:r>
      <w:r w:rsidR="008D7016">
        <w:rPr>
          <w:b/>
          <w:u w:val="single"/>
          <w:lang w:val="en-US"/>
        </w:rPr>
        <w:t xml:space="preserve"> for </w:t>
      </w:r>
      <w:r w:rsidR="008D7016">
        <w:rPr>
          <w:b/>
          <w:u w:val="single"/>
          <w:lang w:eastAsia="x-none"/>
        </w:rPr>
        <w:t>FG 24-1b</w:t>
      </w:r>
      <w:r>
        <w:rPr>
          <w:b/>
          <w:u w:val="single"/>
          <w:lang w:val="en-US"/>
        </w:rPr>
        <w:t>.</w:t>
      </w:r>
    </w:p>
    <w:p w14:paraId="246E602A" w14:textId="52A2F1E4" w:rsidR="00C3536C" w:rsidRPr="00C3536C" w:rsidRDefault="00C3536C" w:rsidP="00C3536C">
      <w:pPr>
        <w:pStyle w:val="ListParagraph"/>
        <w:numPr>
          <w:ilvl w:val="0"/>
          <w:numId w:val="39"/>
        </w:numPr>
        <w:tabs>
          <w:tab w:val="left" w:pos="1300"/>
        </w:tabs>
        <w:spacing w:after="0"/>
        <w:ind w:leftChars="0"/>
        <w:jc w:val="both"/>
        <w:rPr>
          <w:b/>
          <w:u w:val="single"/>
          <w:lang w:val="en-US"/>
        </w:rPr>
      </w:pPr>
      <w:r>
        <w:rPr>
          <w:b/>
          <w:u w:val="single"/>
          <w:lang w:val="en-US"/>
        </w:rPr>
        <w:t xml:space="preserve">Ask guidance from RAN plenary on whether </w:t>
      </w:r>
      <w:r w:rsidR="008D7016">
        <w:rPr>
          <w:b/>
          <w:u w:val="single"/>
          <w:lang w:eastAsia="x-none"/>
        </w:rPr>
        <w:t xml:space="preserve">FG 24-1b </w:t>
      </w:r>
      <w:r w:rsidR="008D7016" w:rsidRPr="008D7016">
        <w:rPr>
          <w:b/>
          <w:u w:val="single"/>
          <w:lang w:eastAsia="x-none"/>
        </w:rPr>
        <w:t>and 24-4b</w:t>
      </w:r>
      <w:r w:rsidR="008D7016">
        <w:rPr>
          <w:b/>
          <w:u w:val="single"/>
          <w:lang w:val="en-US"/>
        </w:rPr>
        <w:t xml:space="preserve"> are </w:t>
      </w:r>
      <w:r>
        <w:rPr>
          <w:b/>
          <w:u w:val="single"/>
          <w:lang w:val="en-US"/>
        </w:rPr>
        <w:t xml:space="preserve">applicable other than </w:t>
      </w:r>
      <w:r w:rsidRPr="00C3536C">
        <w:rPr>
          <w:b/>
          <w:u w:val="single"/>
          <w:lang w:val="en-US"/>
        </w:rPr>
        <w:t>shared spectrum operation</w:t>
      </w:r>
      <w:r>
        <w:rPr>
          <w:b/>
          <w:u w:val="single"/>
          <w:lang w:val="en-US"/>
        </w:rPr>
        <w:t>.</w:t>
      </w:r>
    </w:p>
    <w:p w14:paraId="442FC9D2" w14:textId="08D8A1A4" w:rsidR="00C42051" w:rsidRDefault="00C42051" w:rsidP="00C4205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Comments to FG 24-1</w:t>
      </w:r>
      <w:r w:rsidR="00C3536C">
        <w:rPr>
          <w:szCs w:val="20"/>
          <w:lang w:val="en-US"/>
        </w:rPr>
        <w:t>c</w:t>
      </w:r>
    </w:p>
    <w:p w14:paraId="69A17330" w14:textId="39A6A2A0" w:rsidR="00C42051" w:rsidRDefault="00C3536C" w:rsidP="00C3536C">
      <w:pPr>
        <w:tabs>
          <w:tab w:val="left" w:pos="1300"/>
        </w:tabs>
        <w:spacing w:after="0"/>
        <w:jc w:val="both"/>
        <w:rPr>
          <w:lang w:eastAsia="x-none"/>
        </w:rPr>
      </w:pPr>
      <w:r>
        <w:rPr>
          <w:lang w:eastAsia="x-none"/>
        </w:rPr>
        <w:t xml:space="preserve">The remaining issue </w:t>
      </w:r>
      <w:r>
        <w:rPr>
          <w:lang w:val="en-US"/>
        </w:rPr>
        <w:t xml:space="preserve">left for FG 24-1c (i.e., </w:t>
      </w:r>
      <w:r w:rsidRPr="00C3536C">
        <w:rPr>
          <w:lang w:val="en-US"/>
        </w:rPr>
        <w:t>Multi-RB support</w:t>
      </w:r>
      <w:r>
        <w:rPr>
          <w:lang w:val="en-US"/>
        </w:rPr>
        <w:t xml:space="preserve"> </w:t>
      </w:r>
      <w:r w:rsidRPr="00C3536C">
        <w:rPr>
          <w:lang w:val="en-US"/>
        </w:rPr>
        <w:t>PUCCH format 0/1/4 for 120 kHz in FR2-2</w:t>
      </w:r>
      <w:r>
        <w:rPr>
          <w:lang w:val="en-US"/>
        </w:rPr>
        <w:t xml:space="preserve">) is whether to mandate this FG when FG </w:t>
      </w:r>
      <w:r w:rsidRPr="00C3536C">
        <w:rPr>
          <w:lang w:val="en-US"/>
        </w:rPr>
        <w:t>24-1a/24-2/FR2-2</w:t>
      </w:r>
      <w:r>
        <w:rPr>
          <w:lang w:val="en-US"/>
        </w:rPr>
        <w:t xml:space="preserve"> is supported</w:t>
      </w:r>
      <w:r w:rsidR="00C42051">
        <w:rPr>
          <w:lang w:eastAsia="x-none"/>
        </w:rPr>
        <w:t>.</w:t>
      </w:r>
      <w:r>
        <w:rPr>
          <w:lang w:eastAsia="x-none"/>
        </w:rPr>
        <w:t xml:space="preserve"> Similar to the comments for FG 24-1b, </w:t>
      </w:r>
      <w:r w:rsidR="008D7016">
        <w:rPr>
          <w:lang w:eastAsia="x-none"/>
        </w:rPr>
        <w:t xml:space="preserve">the intention of supporting this feature is mainly due to the PSD limitation </w:t>
      </w:r>
      <w:r w:rsidR="008D7016">
        <w:rPr>
          <w:lang w:val="en-US"/>
        </w:rPr>
        <w:t xml:space="preserve">with shared spectrum operation, which can be considered as an optimization of transmission power, but not essentially required to implement the system. In this sense, a UE should not be mandated to support multi-RB PUCCH formats in FR2-2. </w:t>
      </w:r>
    </w:p>
    <w:p w14:paraId="2E1058EA" w14:textId="30EE137E" w:rsidR="00C42051" w:rsidRDefault="00C42051" w:rsidP="00C42051">
      <w:pPr>
        <w:tabs>
          <w:tab w:val="left" w:pos="1300"/>
        </w:tabs>
        <w:spacing w:after="0"/>
        <w:jc w:val="both"/>
        <w:rPr>
          <w:b/>
          <w:u w:val="single"/>
        </w:rPr>
      </w:pPr>
    </w:p>
    <w:p w14:paraId="046774FB" w14:textId="0ED80FC3" w:rsidR="00C42051" w:rsidRDefault="008D7016" w:rsidP="00C42051">
      <w:pPr>
        <w:tabs>
          <w:tab w:val="left" w:pos="1300"/>
        </w:tabs>
        <w:spacing w:after="0"/>
        <w:jc w:val="both"/>
        <w:rPr>
          <w:b/>
          <w:u w:val="single"/>
          <w:lang w:val="en-US"/>
        </w:rPr>
      </w:pPr>
      <w:r>
        <w:rPr>
          <w:b/>
          <w:u w:val="single"/>
          <w:lang w:eastAsia="x-none"/>
        </w:rPr>
        <w:t>Proposal 2: FG 24-1c</w:t>
      </w:r>
      <w:r>
        <w:rPr>
          <w:b/>
          <w:u w:val="single"/>
          <w:lang w:val="en-US"/>
        </w:rPr>
        <w:t>, remove the note “</w:t>
      </w:r>
      <w:r w:rsidRPr="008D7016">
        <w:rPr>
          <w:b/>
          <w:u w:val="single"/>
          <w:lang w:val="en-US"/>
        </w:rPr>
        <w:t>A UE that supports [24-1a/24-2/FR2-2] mus</w:t>
      </w:r>
      <w:r>
        <w:rPr>
          <w:b/>
          <w:u w:val="single"/>
          <w:lang w:val="en-US"/>
        </w:rPr>
        <w:t>t indicate this FG is supported”.</w:t>
      </w:r>
    </w:p>
    <w:p w14:paraId="2E28A67F" w14:textId="09182281" w:rsidR="00334AE8" w:rsidRDefault="005270F0" w:rsidP="00334A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8D7016">
        <w:rPr>
          <w:szCs w:val="20"/>
          <w:lang w:val="en-US"/>
        </w:rPr>
        <w:t>24-1d and 24-1e</w:t>
      </w:r>
    </w:p>
    <w:p w14:paraId="0CC1595E" w14:textId="2E130477" w:rsidR="008D7016" w:rsidRDefault="008D7016" w:rsidP="00025E00">
      <w:pPr>
        <w:tabs>
          <w:tab w:val="left" w:pos="1300"/>
        </w:tabs>
        <w:spacing w:after="0"/>
        <w:jc w:val="both"/>
        <w:rPr>
          <w:lang w:val="en-US"/>
        </w:rPr>
      </w:pPr>
      <w:r>
        <w:rPr>
          <w:lang w:val="en-US"/>
        </w:rPr>
        <w:t>Multiple PUSCH/PDSCHs scheduled by single DCI is supported mainly to resolve the issue of limited processing time for 480 and 960 kHz in FR2-2, and it’s generalized to 120 kHz in FR2-2 as well since the specification impact is minor. However, it doesn’t imply this feature can be easily generalized to other frequency ranges</w:t>
      </w:r>
      <w:r w:rsidR="007A3DCE">
        <w:rPr>
          <w:lang w:val="en-US"/>
        </w:rPr>
        <w:t xml:space="preserve"> or other subcarrier </w:t>
      </w:r>
      <w:proofErr w:type="spellStart"/>
      <w:r w:rsidR="007A3DCE">
        <w:rPr>
          <w:lang w:val="en-US"/>
        </w:rPr>
        <w:t>spacings</w:t>
      </w:r>
      <w:proofErr w:type="spellEnd"/>
      <w:r>
        <w:rPr>
          <w:lang w:val="en-US"/>
        </w:rPr>
        <w:t xml:space="preserve">, since the device supporting FR2-2 may not be the same </w:t>
      </w:r>
      <w:r w:rsidR="007A3DCE">
        <w:rPr>
          <w:lang w:val="en-US"/>
        </w:rPr>
        <w:t xml:space="preserve">as the one supporting other frequency ranges or other subcarrier </w:t>
      </w:r>
      <w:proofErr w:type="spellStart"/>
      <w:r w:rsidR="007A3DCE">
        <w:rPr>
          <w:lang w:val="en-US"/>
        </w:rPr>
        <w:t>spacings</w:t>
      </w:r>
      <w:proofErr w:type="spellEnd"/>
      <w:r w:rsidR="007A3DCE">
        <w:rPr>
          <w:lang w:val="en-US"/>
        </w:rPr>
        <w:t xml:space="preserve">, and such generalization should be avoided without proper justification. </w:t>
      </w:r>
    </w:p>
    <w:p w14:paraId="2A9F11CD" w14:textId="77777777" w:rsidR="007A3DCE" w:rsidRDefault="007A3DCE" w:rsidP="00025E00">
      <w:pPr>
        <w:tabs>
          <w:tab w:val="left" w:pos="1300"/>
        </w:tabs>
        <w:spacing w:after="0"/>
        <w:jc w:val="both"/>
        <w:rPr>
          <w:lang w:val="en-US"/>
        </w:rPr>
      </w:pPr>
    </w:p>
    <w:p w14:paraId="064EC438" w14:textId="42031DBD" w:rsidR="007A3DCE" w:rsidRDefault="007A3DCE" w:rsidP="007A3DCE">
      <w:pPr>
        <w:tabs>
          <w:tab w:val="left" w:pos="1300"/>
        </w:tabs>
        <w:spacing w:after="0"/>
        <w:jc w:val="both"/>
        <w:rPr>
          <w:b/>
          <w:u w:val="single"/>
          <w:lang w:val="en-US"/>
        </w:rPr>
      </w:pPr>
      <w:r>
        <w:rPr>
          <w:b/>
          <w:u w:val="single"/>
          <w:lang w:eastAsia="x-none"/>
        </w:rPr>
        <w:t>Proposal 3: FG 24-1d and 24-1e,</w:t>
      </w:r>
      <w:r>
        <w:rPr>
          <w:b/>
          <w:u w:val="single"/>
          <w:lang w:val="en-US"/>
        </w:rPr>
        <w:t xml:space="preserve"> remove the note “</w:t>
      </w:r>
      <w:r w:rsidRPr="007A3DCE">
        <w:rPr>
          <w:b/>
          <w:u w:val="single"/>
          <w:lang w:val="en-US"/>
        </w:rPr>
        <w:t>FFS: to extend this FG to other frequency ranges</w:t>
      </w:r>
      <w:r>
        <w:rPr>
          <w:b/>
          <w:u w:val="single"/>
          <w:lang w:val="en-US"/>
        </w:rPr>
        <w:t>”.</w:t>
      </w:r>
    </w:p>
    <w:p w14:paraId="3BD9C106" w14:textId="633F61E7" w:rsidR="007A3DCE" w:rsidRDefault="007A3DCE" w:rsidP="007A3DC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Comments to FG 24-8 and 24-9</w:t>
      </w:r>
    </w:p>
    <w:p w14:paraId="7C6AF43C" w14:textId="1BA5E854" w:rsidR="00334AE8" w:rsidRDefault="007B2064" w:rsidP="00025E00">
      <w:pPr>
        <w:tabs>
          <w:tab w:val="left" w:pos="1300"/>
        </w:tabs>
        <w:spacing w:after="0"/>
        <w:jc w:val="both"/>
        <w:rPr>
          <w:lang w:val="en-US"/>
        </w:rPr>
      </w:pPr>
      <w:r>
        <w:rPr>
          <w:lang w:val="en-US"/>
        </w:rPr>
        <w:t>It was agreed to support 32 DL and UL HARQ processes, using same solution as in NTN</w:t>
      </w:r>
      <w:r>
        <w:rPr>
          <w:lang w:eastAsia="x-none"/>
        </w:rPr>
        <w:t xml:space="preserve">, but for UE features, the FGs of supporting </w:t>
      </w:r>
      <w:r>
        <w:rPr>
          <w:lang w:val="en-US"/>
        </w:rPr>
        <w:t xml:space="preserve">32 DL and UL HARQ processes should be separate from the corresponding FGs for NTN, since the type of UE to support those FGs can be different. </w:t>
      </w:r>
      <w:r w:rsidR="007A3DCE">
        <w:rPr>
          <w:lang w:val="en-US"/>
        </w:rPr>
        <w:t>Also</w:t>
      </w:r>
      <w:r>
        <w:rPr>
          <w:lang w:val="en-US"/>
        </w:rPr>
        <w:t>, the supporting of FG 24-8 and 24-9 should be per FSPC</w:t>
      </w:r>
      <w:r w:rsidR="007A3DCE">
        <w:rPr>
          <w:lang w:val="en-US"/>
        </w:rPr>
        <w:t>, such that UE has a better control when implementation this feature</w:t>
      </w:r>
      <w:r>
        <w:rPr>
          <w:lang w:val="en-US"/>
        </w:rPr>
        <w:t xml:space="preserve">. </w:t>
      </w:r>
    </w:p>
    <w:p w14:paraId="49D9702F" w14:textId="35B19BA8" w:rsidR="00334AE8" w:rsidRDefault="00334AE8" w:rsidP="00025E00">
      <w:pPr>
        <w:tabs>
          <w:tab w:val="left" w:pos="1300"/>
        </w:tabs>
        <w:spacing w:after="0"/>
        <w:jc w:val="both"/>
        <w:rPr>
          <w:lang w:val="en-US"/>
        </w:rPr>
      </w:pPr>
    </w:p>
    <w:p w14:paraId="79AD5B0A" w14:textId="023B9B7A" w:rsidR="00334AE8" w:rsidRPr="006A74CB" w:rsidRDefault="006A74CB" w:rsidP="00025E00">
      <w:pPr>
        <w:tabs>
          <w:tab w:val="left" w:pos="1300"/>
        </w:tabs>
        <w:spacing w:after="0"/>
        <w:jc w:val="both"/>
        <w:rPr>
          <w:b/>
          <w:u w:val="single"/>
          <w:lang w:val="en-US"/>
        </w:rPr>
      </w:pPr>
      <w:r w:rsidRPr="006A74CB">
        <w:rPr>
          <w:b/>
          <w:u w:val="single"/>
          <w:lang w:val="en-US"/>
        </w:rPr>
        <w:t xml:space="preserve">Proposal </w:t>
      </w:r>
      <w:r w:rsidR="007A3DCE">
        <w:rPr>
          <w:b/>
          <w:u w:val="single"/>
          <w:lang w:val="en-US"/>
        </w:rPr>
        <w:t>4</w:t>
      </w:r>
      <w:r w:rsidRPr="006A74CB">
        <w:rPr>
          <w:b/>
          <w:u w:val="single"/>
          <w:lang w:val="en-US"/>
        </w:rPr>
        <w:t xml:space="preserve">: </w:t>
      </w:r>
      <w:r w:rsidR="007B2064">
        <w:rPr>
          <w:b/>
          <w:u w:val="single"/>
          <w:lang w:eastAsia="x-none"/>
        </w:rPr>
        <w:t>For FG 24-8 and FG 24-9</w:t>
      </w:r>
      <w:r>
        <w:rPr>
          <w:b/>
          <w:u w:val="single"/>
          <w:lang w:val="en-US"/>
        </w:rPr>
        <w:t>:</w:t>
      </w:r>
    </w:p>
    <w:p w14:paraId="465FFD25" w14:textId="3A93C06D" w:rsidR="006A74CB" w:rsidRDefault="007B2064" w:rsidP="006A74CB">
      <w:pPr>
        <w:pStyle w:val="ListParagraph"/>
        <w:numPr>
          <w:ilvl w:val="0"/>
          <w:numId w:val="38"/>
        </w:numPr>
        <w:spacing w:after="0"/>
        <w:ind w:leftChars="0"/>
        <w:rPr>
          <w:b/>
          <w:u w:val="single"/>
        </w:rPr>
      </w:pPr>
      <w:r>
        <w:rPr>
          <w:b/>
          <w:u w:val="single"/>
        </w:rPr>
        <w:t>Keep the FGs separately from supporting 32 HARQ processes in NTN</w:t>
      </w:r>
      <w:r w:rsidR="006A74CB">
        <w:rPr>
          <w:b/>
          <w:u w:val="single"/>
        </w:rPr>
        <w:t>;</w:t>
      </w:r>
    </w:p>
    <w:p w14:paraId="1094332E" w14:textId="77433643" w:rsidR="006A74CB" w:rsidRPr="006A74CB" w:rsidRDefault="007B2064" w:rsidP="006A74CB">
      <w:pPr>
        <w:pStyle w:val="ListParagraph"/>
        <w:numPr>
          <w:ilvl w:val="0"/>
          <w:numId w:val="38"/>
        </w:numPr>
        <w:spacing w:after="0"/>
        <w:ind w:leftChars="0"/>
        <w:rPr>
          <w:b/>
          <w:u w:val="single"/>
        </w:rPr>
      </w:pPr>
      <w:r>
        <w:rPr>
          <w:b/>
          <w:u w:val="single"/>
        </w:rPr>
        <w:t>“Type” of the FGs are</w:t>
      </w:r>
      <w:r w:rsidR="00625192">
        <w:rPr>
          <w:b/>
          <w:u w:val="single"/>
        </w:rPr>
        <w:t xml:space="preserve"> per FSPC</w:t>
      </w:r>
      <w:r w:rsidR="006A74CB">
        <w:rPr>
          <w:b/>
          <w:u w:val="single"/>
        </w:rPr>
        <w:t>.</w:t>
      </w:r>
    </w:p>
    <w:p w14:paraId="5607CBC3" w14:textId="2F0B4289" w:rsidR="007A3DCE" w:rsidRDefault="007A3DCE" w:rsidP="007A3DC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Comments to FG 24-10</w:t>
      </w:r>
    </w:p>
    <w:p w14:paraId="68719DE6" w14:textId="77777777" w:rsidR="007A3DCE" w:rsidRDefault="007A3DCE" w:rsidP="007A3DCE">
      <w:pPr>
        <w:tabs>
          <w:tab w:val="left" w:pos="1300"/>
        </w:tabs>
        <w:spacing w:after="0"/>
        <w:jc w:val="both"/>
        <w:rPr>
          <w:lang w:val="en-US"/>
        </w:rPr>
      </w:pPr>
      <w:r>
        <w:rPr>
          <w:lang w:val="en-US"/>
        </w:rPr>
        <w:t>For FG 24-10, one remaining issue left is how to understand the UE behavior when this FG is not reported. We want to note that this FG is the additional beam switching time delay for 480 kHz SCS, which is intended to relax the UE’s beam switching time delay. In this sense, a UE should always try to report a value in order to benefit its implementation, and hence, there should be no issue to mandate the UE to report a value from the candidate value set.</w:t>
      </w:r>
    </w:p>
    <w:p w14:paraId="07D6F634" w14:textId="77777777" w:rsidR="007A3DCE" w:rsidRDefault="007A3DCE" w:rsidP="007A3DCE">
      <w:pPr>
        <w:tabs>
          <w:tab w:val="left" w:pos="1300"/>
        </w:tabs>
        <w:spacing w:after="0"/>
        <w:jc w:val="both"/>
        <w:rPr>
          <w:lang w:val="en-US"/>
        </w:rPr>
      </w:pPr>
    </w:p>
    <w:p w14:paraId="7557FC92" w14:textId="77777777" w:rsidR="007A3DCE" w:rsidRDefault="007A3DCE" w:rsidP="007A3DCE">
      <w:pPr>
        <w:tabs>
          <w:tab w:val="left" w:pos="1300"/>
        </w:tabs>
        <w:spacing w:after="0"/>
        <w:jc w:val="both"/>
        <w:rPr>
          <w:lang w:val="en-US"/>
        </w:rPr>
      </w:pPr>
      <w:r>
        <w:rPr>
          <w:lang w:val="en-US"/>
        </w:rPr>
        <w:t xml:space="preserve">Another remaining issue is the type of this FG, and we believe it should be “per band” to be consistent with other FGs for FR2-2. </w:t>
      </w:r>
    </w:p>
    <w:p w14:paraId="3E73FED7" w14:textId="77777777" w:rsidR="007A3DCE" w:rsidRDefault="007A3DCE" w:rsidP="007A3DCE">
      <w:pPr>
        <w:tabs>
          <w:tab w:val="left" w:pos="1300"/>
        </w:tabs>
        <w:spacing w:after="0"/>
        <w:jc w:val="both"/>
        <w:rPr>
          <w:lang w:val="en-US"/>
        </w:rPr>
      </w:pPr>
    </w:p>
    <w:p w14:paraId="679D36B2" w14:textId="297C621A" w:rsidR="007A3DCE" w:rsidRPr="006A74CB" w:rsidRDefault="007A3DCE" w:rsidP="007A3DCE">
      <w:pPr>
        <w:tabs>
          <w:tab w:val="left" w:pos="1300"/>
        </w:tabs>
        <w:spacing w:after="0"/>
        <w:jc w:val="both"/>
        <w:rPr>
          <w:b/>
          <w:u w:val="single"/>
          <w:lang w:val="en-US"/>
        </w:rPr>
      </w:pPr>
      <w:r w:rsidRPr="006A74CB">
        <w:rPr>
          <w:b/>
          <w:u w:val="single"/>
          <w:lang w:val="en-US"/>
        </w:rPr>
        <w:t xml:space="preserve">Proposal </w:t>
      </w:r>
      <w:r>
        <w:rPr>
          <w:b/>
          <w:u w:val="single"/>
          <w:lang w:val="en-US"/>
        </w:rPr>
        <w:t>5</w:t>
      </w:r>
      <w:r w:rsidRPr="006A74CB">
        <w:rPr>
          <w:b/>
          <w:u w:val="single"/>
          <w:lang w:val="en-US"/>
        </w:rPr>
        <w:t xml:space="preserve">: </w:t>
      </w:r>
      <w:r>
        <w:rPr>
          <w:b/>
          <w:u w:val="single"/>
          <w:lang w:eastAsia="x-none"/>
        </w:rPr>
        <w:t>For FG 24-10</w:t>
      </w:r>
      <w:r>
        <w:rPr>
          <w:b/>
          <w:u w:val="single"/>
          <w:lang w:val="en-US"/>
        </w:rPr>
        <w:t>:</w:t>
      </w:r>
    </w:p>
    <w:p w14:paraId="15484314" w14:textId="598EBBE2" w:rsidR="007A3DCE" w:rsidRDefault="007A3DCE" w:rsidP="007A3DCE">
      <w:pPr>
        <w:pStyle w:val="ListParagraph"/>
        <w:numPr>
          <w:ilvl w:val="0"/>
          <w:numId w:val="38"/>
        </w:numPr>
        <w:spacing w:after="0"/>
        <w:ind w:leftChars="0"/>
        <w:rPr>
          <w:b/>
          <w:u w:val="single"/>
        </w:rPr>
      </w:pPr>
      <w:r>
        <w:rPr>
          <w:b/>
          <w:u w:val="single"/>
        </w:rPr>
        <w:t>A UE is mandated to report a value from the candidate value set;</w:t>
      </w:r>
    </w:p>
    <w:p w14:paraId="104205C6" w14:textId="7B55187B" w:rsidR="007A3DCE" w:rsidRPr="006A74CB" w:rsidRDefault="007A3DCE" w:rsidP="007A3DCE">
      <w:pPr>
        <w:pStyle w:val="ListParagraph"/>
        <w:numPr>
          <w:ilvl w:val="0"/>
          <w:numId w:val="38"/>
        </w:numPr>
        <w:spacing w:after="0"/>
        <w:ind w:leftChars="0"/>
        <w:rPr>
          <w:b/>
          <w:u w:val="single"/>
        </w:rPr>
      </w:pPr>
      <w:r>
        <w:rPr>
          <w:b/>
          <w:u w:val="single"/>
        </w:rPr>
        <w:t>“Type” of the FG is per band.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080C5E10" w14:textId="0848A87E" w:rsidR="00053892" w:rsidRDefault="00137044" w:rsidP="00AF10C0">
      <w:r>
        <w:t xml:space="preserve">The </w:t>
      </w:r>
      <w:r w:rsidR="0028289A">
        <w:t>proposals</w:t>
      </w:r>
      <w:r w:rsidR="00815493" w:rsidRPr="00816B5E">
        <w:t xml:space="preserve"> made in this contribution </w:t>
      </w:r>
      <w:r w:rsidR="001855F9">
        <w:t>are</w:t>
      </w:r>
      <w:r w:rsidR="00815493" w:rsidRPr="00816B5E">
        <w:t xml:space="preserve"> summarized below:</w:t>
      </w:r>
    </w:p>
    <w:p w14:paraId="75BDAED6" w14:textId="77777777" w:rsidR="00682AF5" w:rsidRDefault="00682AF5" w:rsidP="00682AF5">
      <w:pPr>
        <w:tabs>
          <w:tab w:val="left" w:pos="1300"/>
        </w:tabs>
        <w:spacing w:after="0"/>
        <w:jc w:val="both"/>
        <w:rPr>
          <w:b/>
          <w:u w:val="single"/>
          <w:lang w:eastAsia="x-none"/>
        </w:rPr>
      </w:pPr>
      <w:r>
        <w:rPr>
          <w:b/>
          <w:u w:val="single"/>
          <w:lang w:eastAsia="x-none"/>
        </w:rPr>
        <w:t xml:space="preserve">Proposal 1: For FG 24-1b </w:t>
      </w:r>
      <w:r w:rsidRPr="008D7016">
        <w:rPr>
          <w:b/>
          <w:u w:val="single"/>
          <w:lang w:eastAsia="x-none"/>
        </w:rPr>
        <w:t>and 24-4b</w:t>
      </w:r>
      <w:r>
        <w:rPr>
          <w:b/>
          <w:u w:val="single"/>
          <w:lang w:eastAsia="x-none"/>
        </w:rPr>
        <w:t>:</w:t>
      </w:r>
    </w:p>
    <w:p w14:paraId="08E94B18" w14:textId="77777777" w:rsidR="00682AF5" w:rsidRDefault="00682AF5" w:rsidP="00682AF5">
      <w:pPr>
        <w:pStyle w:val="ListParagraph"/>
        <w:numPr>
          <w:ilvl w:val="0"/>
          <w:numId w:val="39"/>
        </w:numPr>
        <w:tabs>
          <w:tab w:val="left" w:pos="1300"/>
        </w:tabs>
        <w:spacing w:after="0"/>
        <w:ind w:leftChars="0"/>
        <w:jc w:val="both"/>
        <w:rPr>
          <w:b/>
          <w:u w:val="single"/>
          <w:lang w:val="en-US"/>
        </w:rPr>
      </w:pPr>
      <w:r>
        <w:rPr>
          <w:b/>
          <w:u w:val="single"/>
          <w:lang w:val="en-US"/>
        </w:rPr>
        <w:t>Remove the note “</w:t>
      </w:r>
      <w:r w:rsidRPr="00C3536C">
        <w:rPr>
          <w:b/>
          <w:u w:val="single"/>
          <w:lang w:val="en-US"/>
        </w:rPr>
        <w:t>A UE that supports FG 24-2 must indicate this FG is supported</w:t>
      </w:r>
      <w:r>
        <w:rPr>
          <w:b/>
          <w:u w:val="single"/>
          <w:lang w:val="en-US"/>
        </w:rPr>
        <w:t xml:space="preserve">” for </w:t>
      </w:r>
      <w:r>
        <w:rPr>
          <w:b/>
          <w:u w:val="single"/>
          <w:lang w:eastAsia="x-none"/>
        </w:rPr>
        <w:t>FG 24-1b</w:t>
      </w:r>
      <w:r>
        <w:rPr>
          <w:b/>
          <w:u w:val="single"/>
          <w:lang w:val="en-US"/>
        </w:rPr>
        <w:t>.</w:t>
      </w:r>
    </w:p>
    <w:p w14:paraId="78F29B3A" w14:textId="77777777" w:rsidR="00682AF5" w:rsidRPr="00C3536C" w:rsidRDefault="00682AF5" w:rsidP="00682AF5">
      <w:pPr>
        <w:pStyle w:val="ListParagraph"/>
        <w:numPr>
          <w:ilvl w:val="0"/>
          <w:numId w:val="39"/>
        </w:numPr>
        <w:tabs>
          <w:tab w:val="left" w:pos="1300"/>
        </w:tabs>
        <w:spacing w:after="0"/>
        <w:ind w:leftChars="0"/>
        <w:jc w:val="both"/>
        <w:rPr>
          <w:b/>
          <w:u w:val="single"/>
          <w:lang w:val="en-US"/>
        </w:rPr>
      </w:pPr>
      <w:r>
        <w:rPr>
          <w:b/>
          <w:u w:val="single"/>
          <w:lang w:val="en-US"/>
        </w:rPr>
        <w:t xml:space="preserve">Ask guidance from RAN plenary on whether </w:t>
      </w:r>
      <w:r>
        <w:rPr>
          <w:b/>
          <w:u w:val="single"/>
          <w:lang w:eastAsia="x-none"/>
        </w:rPr>
        <w:t xml:space="preserve">FG 24-1b </w:t>
      </w:r>
      <w:r w:rsidRPr="008D7016">
        <w:rPr>
          <w:b/>
          <w:u w:val="single"/>
          <w:lang w:eastAsia="x-none"/>
        </w:rPr>
        <w:t>and 24-4b</w:t>
      </w:r>
      <w:r>
        <w:rPr>
          <w:b/>
          <w:u w:val="single"/>
          <w:lang w:val="en-US"/>
        </w:rPr>
        <w:t xml:space="preserve"> are applicable other than </w:t>
      </w:r>
      <w:r w:rsidRPr="00C3536C">
        <w:rPr>
          <w:b/>
          <w:u w:val="single"/>
          <w:lang w:val="en-US"/>
        </w:rPr>
        <w:t>shared spectrum operation</w:t>
      </w:r>
      <w:r>
        <w:rPr>
          <w:b/>
          <w:u w:val="single"/>
          <w:lang w:val="en-US"/>
        </w:rPr>
        <w:t>.</w:t>
      </w:r>
    </w:p>
    <w:p w14:paraId="41CD9F9F" w14:textId="0C5F16C9" w:rsidR="005D3C76" w:rsidRDefault="005D3C76" w:rsidP="005D3C76">
      <w:pPr>
        <w:tabs>
          <w:tab w:val="left" w:pos="1300"/>
        </w:tabs>
        <w:spacing w:after="0"/>
        <w:jc w:val="both"/>
        <w:rPr>
          <w:b/>
          <w:u w:val="single"/>
          <w:lang w:val="en-US"/>
        </w:rPr>
      </w:pPr>
    </w:p>
    <w:p w14:paraId="603245BB" w14:textId="77777777" w:rsidR="00682AF5" w:rsidRDefault="00682AF5" w:rsidP="00682AF5">
      <w:pPr>
        <w:tabs>
          <w:tab w:val="left" w:pos="1300"/>
        </w:tabs>
        <w:spacing w:after="0"/>
        <w:jc w:val="both"/>
        <w:rPr>
          <w:b/>
          <w:u w:val="single"/>
          <w:lang w:val="en-US"/>
        </w:rPr>
      </w:pPr>
      <w:r>
        <w:rPr>
          <w:b/>
          <w:u w:val="single"/>
          <w:lang w:eastAsia="x-none"/>
        </w:rPr>
        <w:t>Proposal 2: FG 24-1c</w:t>
      </w:r>
      <w:r>
        <w:rPr>
          <w:b/>
          <w:u w:val="single"/>
          <w:lang w:val="en-US"/>
        </w:rPr>
        <w:t>, remove the note “</w:t>
      </w:r>
      <w:r w:rsidRPr="008D7016">
        <w:rPr>
          <w:b/>
          <w:u w:val="single"/>
          <w:lang w:val="en-US"/>
        </w:rPr>
        <w:t>A UE that supports [24-1a/24-2/FR2-2] mus</w:t>
      </w:r>
      <w:r>
        <w:rPr>
          <w:b/>
          <w:u w:val="single"/>
          <w:lang w:val="en-US"/>
        </w:rPr>
        <w:t>t indicate this FG is supported”.</w:t>
      </w:r>
    </w:p>
    <w:p w14:paraId="36F9C7CE" w14:textId="45EB4EF2" w:rsidR="005D3C76" w:rsidRDefault="005D3C76" w:rsidP="005D3C76">
      <w:pPr>
        <w:tabs>
          <w:tab w:val="left" w:pos="1300"/>
        </w:tabs>
        <w:spacing w:after="0"/>
        <w:jc w:val="both"/>
        <w:rPr>
          <w:b/>
          <w:u w:val="single"/>
          <w:lang w:val="en-US"/>
        </w:rPr>
      </w:pPr>
    </w:p>
    <w:p w14:paraId="2E0D197C" w14:textId="6C354318" w:rsidR="00682AF5" w:rsidRDefault="00682AF5" w:rsidP="00682AF5">
      <w:pPr>
        <w:tabs>
          <w:tab w:val="left" w:pos="1300"/>
        </w:tabs>
        <w:spacing w:after="0"/>
        <w:jc w:val="both"/>
        <w:rPr>
          <w:b/>
          <w:u w:val="single"/>
          <w:lang w:val="en-US"/>
        </w:rPr>
      </w:pPr>
      <w:r>
        <w:rPr>
          <w:b/>
          <w:u w:val="single"/>
          <w:lang w:eastAsia="x-none"/>
        </w:rPr>
        <w:t>Proposal 3: FG 24-1d and 24-1e,</w:t>
      </w:r>
      <w:r>
        <w:rPr>
          <w:b/>
          <w:u w:val="single"/>
          <w:lang w:val="en-US"/>
        </w:rPr>
        <w:t xml:space="preserve"> remove the note “</w:t>
      </w:r>
      <w:r w:rsidRPr="007A3DCE">
        <w:rPr>
          <w:b/>
          <w:u w:val="single"/>
          <w:lang w:val="en-US"/>
        </w:rPr>
        <w:t>FFS: to extend this FG to other frequency ranges</w:t>
      </w:r>
      <w:r>
        <w:rPr>
          <w:b/>
          <w:u w:val="single"/>
          <w:lang w:val="en-US"/>
        </w:rPr>
        <w:t>”.</w:t>
      </w:r>
    </w:p>
    <w:p w14:paraId="525BCF1A" w14:textId="77777777" w:rsidR="00682AF5" w:rsidRDefault="00682AF5" w:rsidP="00682AF5">
      <w:pPr>
        <w:tabs>
          <w:tab w:val="left" w:pos="1300"/>
        </w:tabs>
        <w:spacing w:after="0"/>
        <w:jc w:val="both"/>
        <w:rPr>
          <w:b/>
          <w:u w:val="single"/>
          <w:lang w:val="en-US"/>
        </w:rPr>
      </w:pPr>
    </w:p>
    <w:p w14:paraId="5ADE1F9A" w14:textId="77777777" w:rsidR="00682AF5" w:rsidRPr="006A74CB" w:rsidRDefault="00682AF5" w:rsidP="00682AF5">
      <w:pPr>
        <w:tabs>
          <w:tab w:val="left" w:pos="1300"/>
        </w:tabs>
        <w:spacing w:after="0"/>
        <w:jc w:val="both"/>
        <w:rPr>
          <w:b/>
          <w:u w:val="single"/>
          <w:lang w:val="en-US"/>
        </w:rPr>
      </w:pPr>
      <w:r w:rsidRPr="006A74CB">
        <w:rPr>
          <w:b/>
          <w:u w:val="single"/>
          <w:lang w:val="en-US"/>
        </w:rPr>
        <w:t xml:space="preserve">Proposal </w:t>
      </w:r>
      <w:r>
        <w:rPr>
          <w:b/>
          <w:u w:val="single"/>
          <w:lang w:val="en-US"/>
        </w:rPr>
        <w:t>4</w:t>
      </w:r>
      <w:r w:rsidRPr="006A74CB">
        <w:rPr>
          <w:b/>
          <w:u w:val="single"/>
          <w:lang w:val="en-US"/>
        </w:rPr>
        <w:t xml:space="preserve">: </w:t>
      </w:r>
      <w:r>
        <w:rPr>
          <w:b/>
          <w:u w:val="single"/>
          <w:lang w:eastAsia="x-none"/>
        </w:rPr>
        <w:t>For FG 24-8 and FG 24-9</w:t>
      </w:r>
      <w:r>
        <w:rPr>
          <w:b/>
          <w:u w:val="single"/>
          <w:lang w:val="en-US"/>
        </w:rPr>
        <w:t>:</w:t>
      </w:r>
    </w:p>
    <w:p w14:paraId="166F4B3D" w14:textId="77777777" w:rsidR="00682AF5" w:rsidRDefault="00682AF5" w:rsidP="00682AF5">
      <w:pPr>
        <w:pStyle w:val="ListParagraph"/>
        <w:numPr>
          <w:ilvl w:val="0"/>
          <w:numId w:val="38"/>
        </w:numPr>
        <w:spacing w:after="0"/>
        <w:ind w:leftChars="0"/>
        <w:rPr>
          <w:b/>
          <w:u w:val="single"/>
        </w:rPr>
      </w:pPr>
      <w:r>
        <w:rPr>
          <w:b/>
          <w:u w:val="single"/>
        </w:rPr>
        <w:t>Keep the FGs separately from supporting 32 HARQ processes in NTN;</w:t>
      </w:r>
    </w:p>
    <w:p w14:paraId="46A6130A" w14:textId="77777777" w:rsidR="00682AF5" w:rsidRPr="006A74CB" w:rsidRDefault="00682AF5" w:rsidP="00682AF5">
      <w:pPr>
        <w:pStyle w:val="ListParagraph"/>
        <w:numPr>
          <w:ilvl w:val="0"/>
          <w:numId w:val="38"/>
        </w:numPr>
        <w:spacing w:after="0"/>
        <w:ind w:leftChars="0"/>
        <w:rPr>
          <w:b/>
          <w:u w:val="single"/>
        </w:rPr>
      </w:pPr>
      <w:r>
        <w:rPr>
          <w:b/>
          <w:u w:val="single"/>
        </w:rPr>
        <w:t>“Type” of the FGs are per FSPC.</w:t>
      </w:r>
    </w:p>
    <w:p w14:paraId="3B94E9E7" w14:textId="65764951" w:rsidR="00682AF5" w:rsidRDefault="00682AF5" w:rsidP="00682AF5">
      <w:pPr>
        <w:tabs>
          <w:tab w:val="left" w:pos="1300"/>
        </w:tabs>
        <w:spacing w:after="0"/>
        <w:jc w:val="both"/>
        <w:rPr>
          <w:b/>
          <w:u w:val="single"/>
        </w:rPr>
      </w:pPr>
    </w:p>
    <w:p w14:paraId="23373A6C" w14:textId="77777777" w:rsidR="00682AF5" w:rsidRPr="006A74CB" w:rsidRDefault="00682AF5" w:rsidP="00682AF5">
      <w:pPr>
        <w:tabs>
          <w:tab w:val="left" w:pos="1300"/>
        </w:tabs>
        <w:spacing w:after="0"/>
        <w:jc w:val="both"/>
        <w:rPr>
          <w:b/>
          <w:u w:val="single"/>
          <w:lang w:val="en-US"/>
        </w:rPr>
      </w:pPr>
      <w:r w:rsidRPr="006A74CB">
        <w:rPr>
          <w:b/>
          <w:u w:val="single"/>
          <w:lang w:val="en-US"/>
        </w:rPr>
        <w:t xml:space="preserve">Proposal </w:t>
      </w:r>
      <w:r>
        <w:rPr>
          <w:b/>
          <w:u w:val="single"/>
          <w:lang w:val="en-US"/>
        </w:rPr>
        <w:t>5</w:t>
      </w:r>
      <w:r w:rsidRPr="006A74CB">
        <w:rPr>
          <w:b/>
          <w:u w:val="single"/>
          <w:lang w:val="en-US"/>
        </w:rPr>
        <w:t xml:space="preserve">: </w:t>
      </w:r>
      <w:r>
        <w:rPr>
          <w:b/>
          <w:u w:val="single"/>
          <w:lang w:eastAsia="x-none"/>
        </w:rPr>
        <w:t>For FG 24-10</w:t>
      </w:r>
      <w:r>
        <w:rPr>
          <w:b/>
          <w:u w:val="single"/>
          <w:lang w:val="en-US"/>
        </w:rPr>
        <w:t>:</w:t>
      </w:r>
    </w:p>
    <w:p w14:paraId="18C8FC81" w14:textId="77777777" w:rsidR="00682AF5" w:rsidRDefault="00682AF5" w:rsidP="00682AF5">
      <w:pPr>
        <w:pStyle w:val="ListParagraph"/>
        <w:numPr>
          <w:ilvl w:val="0"/>
          <w:numId w:val="38"/>
        </w:numPr>
        <w:spacing w:after="0"/>
        <w:ind w:leftChars="0"/>
        <w:rPr>
          <w:b/>
          <w:u w:val="single"/>
        </w:rPr>
      </w:pPr>
      <w:r>
        <w:rPr>
          <w:b/>
          <w:u w:val="single"/>
        </w:rPr>
        <w:t>A UE is mandated to report a value from the candidate value set;</w:t>
      </w:r>
    </w:p>
    <w:p w14:paraId="718BAE56" w14:textId="77777777" w:rsidR="00682AF5" w:rsidRPr="006A74CB" w:rsidRDefault="00682AF5" w:rsidP="00682AF5">
      <w:pPr>
        <w:pStyle w:val="ListParagraph"/>
        <w:numPr>
          <w:ilvl w:val="0"/>
          <w:numId w:val="38"/>
        </w:numPr>
        <w:spacing w:after="0"/>
        <w:ind w:leftChars="0"/>
        <w:rPr>
          <w:b/>
          <w:u w:val="single"/>
        </w:rPr>
      </w:pPr>
      <w:r>
        <w:rPr>
          <w:b/>
          <w:u w:val="single"/>
        </w:rPr>
        <w:t>“Type” of the FG is per band.</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11682FF4" w:rsidR="009D3832" w:rsidRPr="00F34076" w:rsidRDefault="00F34076" w:rsidP="007B2064">
      <w:pPr>
        <w:jc w:val="both"/>
        <w:rPr>
          <w:lang w:val="en-US" w:eastAsia="ja-JP"/>
        </w:rPr>
      </w:pPr>
      <w:r>
        <w:rPr>
          <w:lang w:val="en-US" w:eastAsia="ja-JP"/>
        </w:rPr>
        <w:t xml:space="preserve">[1] </w:t>
      </w:r>
      <w:r w:rsidR="007B4ACE">
        <w:rPr>
          <w:lang w:val="en-US" w:eastAsia="ja-JP"/>
        </w:rPr>
        <w:t>R1-2200780</w:t>
      </w:r>
      <w:r w:rsidR="00A31EC1">
        <w:rPr>
          <w:lang w:val="en-US" w:eastAsia="ja-JP"/>
        </w:rPr>
        <w:t xml:space="preserve">, </w:t>
      </w:r>
      <w:r w:rsidR="007B4ACE" w:rsidRPr="007B4ACE">
        <w:rPr>
          <w:lang w:val="en-US" w:eastAsia="ja-JP"/>
        </w:rPr>
        <w:t>Updated RAN1 UE features list for Rel-17 NR after RAN1 #107bis-e</w:t>
      </w:r>
      <w:r w:rsidR="00A31EC1">
        <w:rPr>
          <w:lang w:val="en-US" w:eastAsia="ja-JP"/>
        </w:rPr>
        <w:t xml:space="preserve">, </w:t>
      </w:r>
      <w:r w:rsidR="007B4ACE" w:rsidRPr="007B4ACE">
        <w:rPr>
          <w:lang w:val="en-US" w:eastAsia="ja-JP"/>
        </w:rPr>
        <w:t>Moderators (AT&amp;T, NTT DOCOMO, INC.)</w:t>
      </w:r>
      <w:r w:rsidR="00A31EC1">
        <w:rPr>
          <w:lang w:val="en-US" w:eastAsia="ja-JP"/>
        </w:rPr>
        <w:t xml:space="preserve">, </w:t>
      </w:r>
      <w:r w:rsidR="007B4ACE">
        <w:rPr>
          <w:lang w:val="en-US" w:eastAsia="ja-JP"/>
        </w:rPr>
        <w:t>January, 2022</w:t>
      </w:r>
      <w:r w:rsidR="00A31EC1">
        <w:rPr>
          <w:lang w:val="en-US" w:eastAsia="ja-JP"/>
        </w:rPr>
        <w:t xml:space="preserve">. </w:t>
      </w:r>
    </w:p>
    <w:sectPr w:rsidR="009D3832" w:rsidRPr="00F3407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06F12" w14:textId="77777777" w:rsidR="008D4B1A" w:rsidRDefault="008D4B1A" w:rsidP="00083046">
      <w:r>
        <w:separator/>
      </w:r>
    </w:p>
  </w:endnote>
  <w:endnote w:type="continuationSeparator" w:id="0">
    <w:p w14:paraId="1D62549A" w14:textId="77777777" w:rsidR="008D4B1A" w:rsidRDefault="008D4B1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2A802" w14:textId="77777777" w:rsidR="008D4B1A" w:rsidRDefault="008D4B1A" w:rsidP="00083046">
      <w:r>
        <w:separator/>
      </w:r>
    </w:p>
  </w:footnote>
  <w:footnote w:type="continuationSeparator" w:id="0">
    <w:p w14:paraId="7AA70224" w14:textId="77777777" w:rsidR="008D4B1A" w:rsidRDefault="008D4B1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BA2"/>
    <w:multiLevelType w:val="hybridMultilevel"/>
    <w:tmpl w:val="3F96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01E26"/>
    <w:multiLevelType w:val="hybridMultilevel"/>
    <w:tmpl w:val="91CCE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2"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6"/>
  </w:num>
  <w:num w:numId="4">
    <w:abstractNumId w:val="34"/>
  </w:num>
  <w:num w:numId="5">
    <w:abstractNumId w:val="23"/>
  </w:num>
  <w:num w:numId="6">
    <w:abstractNumId w:val="35"/>
  </w:num>
  <w:num w:numId="7">
    <w:abstractNumId w:val="24"/>
  </w:num>
  <w:num w:numId="8">
    <w:abstractNumId w:val="9"/>
  </w:num>
  <w:num w:numId="9">
    <w:abstractNumId w:val="4"/>
  </w:num>
  <w:num w:numId="10">
    <w:abstractNumId w:val="6"/>
  </w:num>
  <w:num w:numId="11">
    <w:abstractNumId w:val="29"/>
  </w:num>
  <w:num w:numId="12">
    <w:abstractNumId w:val="16"/>
  </w:num>
  <w:num w:numId="13">
    <w:abstractNumId w:val="10"/>
  </w:num>
  <w:num w:numId="14">
    <w:abstractNumId w:val="14"/>
  </w:num>
  <w:num w:numId="15">
    <w:abstractNumId w:val="30"/>
  </w:num>
  <w:num w:numId="16">
    <w:abstractNumId w:val="11"/>
  </w:num>
  <w:num w:numId="17">
    <w:abstractNumId w:val="17"/>
  </w:num>
  <w:num w:numId="18">
    <w:abstractNumId w:val="30"/>
  </w:num>
  <w:num w:numId="19">
    <w:abstractNumId w:val="0"/>
  </w:num>
  <w:num w:numId="20">
    <w:abstractNumId w:val="18"/>
  </w:num>
  <w:num w:numId="21">
    <w:abstractNumId w:val="20"/>
  </w:num>
  <w:num w:numId="22">
    <w:abstractNumId w:val="7"/>
  </w:num>
  <w:num w:numId="23">
    <w:abstractNumId w:val="32"/>
  </w:num>
  <w:num w:numId="24">
    <w:abstractNumId w:val="28"/>
  </w:num>
  <w:num w:numId="25">
    <w:abstractNumId w:val="8"/>
  </w:num>
  <w:num w:numId="26">
    <w:abstractNumId w:val="22"/>
  </w:num>
  <w:num w:numId="27">
    <w:abstractNumId w:val="19"/>
  </w:num>
  <w:num w:numId="28">
    <w:abstractNumId w:val="15"/>
  </w:num>
  <w:num w:numId="29">
    <w:abstractNumId w:val="31"/>
  </w:num>
  <w:num w:numId="30">
    <w:abstractNumId w:val="2"/>
  </w:num>
  <w:num w:numId="31">
    <w:abstractNumId w:val="21"/>
  </w:num>
  <w:num w:numId="32">
    <w:abstractNumId w:val="3"/>
  </w:num>
  <w:num w:numId="33">
    <w:abstractNumId w:val="36"/>
  </w:num>
  <w:num w:numId="34">
    <w:abstractNumId w:val="25"/>
  </w:num>
  <w:num w:numId="35">
    <w:abstractNumId w:val="33"/>
  </w:num>
  <w:num w:numId="36">
    <w:abstractNumId w:val="27"/>
  </w:num>
  <w:num w:numId="37">
    <w:abstractNumId w:val="1"/>
  </w:num>
  <w:num w:numId="38">
    <w:abstractNumId w:val="5"/>
  </w:num>
  <w:num w:numId="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C2"/>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5E00"/>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892"/>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67"/>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247"/>
    <w:rsid w:val="00120B93"/>
    <w:rsid w:val="00121508"/>
    <w:rsid w:val="0012156A"/>
    <w:rsid w:val="001219C2"/>
    <w:rsid w:val="00121AC2"/>
    <w:rsid w:val="00121C7F"/>
    <w:rsid w:val="00122E2E"/>
    <w:rsid w:val="00122EAC"/>
    <w:rsid w:val="00122EBC"/>
    <w:rsid w:val="0012303A"/>
    <w:rsid w:val="00123286"/>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3CF"/>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451"/>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0A3"/>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5DD0"/>
    <w:rsid w:val="00266890"/>
    <w:rsid w:val="00266901"/>
    <w:rsid w:val="00266985"/>
    <w:rsid w:val="002669E5"/>
    <w:rsid w:val="00266A3B"/>
    <w:rsid w:val="00266A6D"/>
    <w:rsid w:val="00266C95"/>
    <w:rsid w:val="002679C3"/>
    <w:rsid w:val="0027034B"/>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4AE8"/>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6B4"/>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B1"/>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435"/>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3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0F0"/>
    <w:rsid w:val="00527339"/>
    <w:rsid w:val="0052763D"/>
    <w:rsid w:val="00527C05"/>
    <w:rsid w:val="00527FA8"/>
    <w:rsid w:val="005302A5"/>
    <w:rsid w:val="00530775"/>
    <w:rsid w:val="00530B88"/>
    <w:rsid w:val="00531CEA"/>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642"/>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7B"/>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C76"/>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192"/>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387"/>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AF5"/>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1A3"/>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4CB"/>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DF9"/>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DCE"/>
    <w:rsid w:val="007A3FD4"/>
    <w:rsid w:val="007A645A"/>
    <w:rsid w:val="007A6E51"/>
    <w:rsid w:val="007A7187"/>
    <w:rsid w:val="007B15B4"/>
    <w:rsid w:val="007B2064"/>
    <w:rsid w:val="007B2123"/>
    <w:rsid w:val="007B2881"/>
    <w:rsid w:val="007B299C"/>
    <w:rsid w:val="007B2A97"/>
    <w:rsid w:val="007B3B82"/>
    <w:rsid w:val="007B3C58"/>
    <w:rsid w:val="007B3CDC"/>
    <w:rsid w:val="007B3EB3"/>
    <w:rsid w:val="007B3ED7"/>
    <w:rsid w:val="007B3F88"/>
    <w:rsid w:val="007B49B4"/>
    <w:rsid w:val="007B4ACE"/>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1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4B1A"/>
    <w:rsid w:val="008D565E"/>
    <w:rsid w:val="008D5A50"/>
    <w:rsid w:val="008D5BAB"/>
    <w:rsid w:val="008D6941"/>
    <w:rsid w:val="008D6F61"/>
    <w:rsid w:val="008D7016"/>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0A6"/>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165C"/>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1EC1"/>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4932"/>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0C0"/>
    <w:rsid w:val="00AF1100"/>
    <w:rsid w:val="00AF1310"/>
    <w:rsid w:val="00AF1F04"/>
    <w:rsid w:val="00AF2653"/>
    <w:rsid w:val="00AF2A2B"/>
    <w:rsid w:val="00AF2DD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97"/>
    <w:rsid w:val="00B40ADC"/>
    <w:rsid w:val="00B40DB9"/>
    <w:rsid w:val="00B410F3"/>
    <w:rsid w:val="00B4159B"/>
    <w:rsid w:val="00B42710"/>
    <w:rsid w:val="00B42DAA"/>
    <w:rsid w:val="00B43074"/>
    <w:rsid w:val="00B4397A"/>
    <w:rsid w:val="00B43C2F"/>
    <w:rsid w:val="00B43DDB"/>
    <w:rsid w:val="00B43FF7"/>
    <w:rsid w:val="00B44625"/>
    <w:rsid w:val="00B453F2"/>
    <w:rsid w:val="00B455A8"/>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36C"/>
    <w:rsid w:val="00C35867"/>
    <w:rsid w:val="00C359D2"/>
    <w:rsid w:val="00C367F8"/>
    <w:rsid w:val="00C37D4F"/>
    <w:rsid w:val="00C40392"/>
    <w:rsid w:val="00C410BE"/>
    <w:rsid w:val="00C42051"/>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0D3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0800"/>
    <w:rsid w:val="00DB0B35"/>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6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3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20478-C323-4D97-945F-D8917CA5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2022-02-11T16:29:00Z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